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Proposal: Procurement cost review for Halden Industrial Supplies</w:t>
      </w:r>
    </w:p>
    <w:p>
      <w:r>
        <w:rPr>
          <w:i/>
          <w:color w:val="787771"/>
          <w:sz w:val="17"/>
        </w:rPr>
        <w:t>Illustrative example · Fictional company and sample data. Test task 2 of 3 (Word).</w:t>
      </w:r>
    </w:p>
    <w:p>
      <w:pPr>
        <w:pStyle w:val="Heading1"/>
      </w:pPr>
      <w:r>
        <w:t>3. Approach, workplan and fees</w:t>
      </w:r>
    </w:p>
    <w:p>
      <w:commentRangeStart w:id="0"/>
      <w:r>
        <w:t>In terms of our overall approach, it is our considered view that the most effective way to proceed with this engagement would be to begin by developing a comprehensive and detailed understanding of the current state of procurement spend at Halden, before then moving on to look in more depth at the individual categories that together make up the majority of the addressable cost base, and finally supporting the Client through the negotiations that will be required in order to capture the savings that have been identified.</w:t>
      </w:r>
      <w:commentRangeEnd w:id="0"/>
      <w:r>
        <w:rPr>
          <w:rStyle w:val="CommentReference"/>
        </w:rPr>
        <w:commentReference w:id="0"/>
      </w:r>
    </w:p>
    <w:p>
      <w:r>
        <w:t>We would propose to structure the work into three distinct phases, which are described in more detail below. It should be noted that each of these phases has been designed in such a way that it builds on the outputs of the phase that comes before it.</w:t>
      </w:r>
    </w:p>
    <w:p>
      <w:pPr>
        <w:pStyle w:val="Heading2"/>
      </w:pPr>
      <w:r>
        <w:t>3.1 Workplan</w:t>
      </w:r>
    </w:p>
    <w:p>
      <w:pPr>
        <w:pStyle w:val="ListNumber"/>
      </w:pPr>
      <w:r>
        <w:t>Spend baseline (weeks 1 to 3). We will collect and cleanse twelve months of accounts payable and purchase order data from HIS, classify it against a standard category taxonomy, and identify the categories where there appears to be the greatest potential for savings to be realised.</w:t>
      </w:r>
    </w:p>
    <w:p>
      <w:pPr>
        <w:pStyle w:val="ListNumber"/>
      </w:pPr>
      <w:r>
        <w:t>Category deep dives (weeks 4 to 8). For each of the top six categories, we will carry out a detailed review of suppliers, contracts, prices paid and demand, and we will benchmark these against comparable organisations in order to size the opportunity in each case.</w:t>
      </w:r>
    </w:p>
    <w:p>
      <w:pPr>
        <w:pStyle w:val="ListNumber"/>
      </w:pPr>
      <w:r>
        <w:t>Negotiation support (weeks 9 to 12). We will work alongside the Halden procurement team to prepare negotiation strategies and fact packs, and we will attend the key supplier meetings in order to support the Client in securing the savings.</w:t>
      </w:r>
    </w:p>
    <w:p>
      <w:pPr>
        <w:pStyle w:val="Heading2"/>
      </w:pPr>
      <w:r>
        <w:t>3.2 Fees</w:t>
      </w:r>
    </w:p>
    <w:p>
      <w:commentRangeStart w:id="1"/>
      <w:r>
        <w:t>Our total professional fees for the twelve-week engagement will be $240,000, excluding expenses, which we would propose to invoice monthly in arrears. The breakdown of the fees by phase is set out in the table below.</w:t>
      </w:r>
      <w:commentRangeEnd w:id="1"/>
      <w:r>
        <w:rPr>
          <w:rStyle w:val="CommentReference"/>
        </w:rPr>
        <w:commentReference w:id="1"/>
      </w:r>
    </w:p>
    <w:tbl>
      <w:tblPr>
        <w:tblStyle w:val="TableGrid"/>
        <w:tblW w:type="auto" w:w="0"/>
        <w:tblLook w:firstColumn="1" w:firstRow="1" w:lastColumn="0" w:lastRow="0" w:noHBand="0" w:noVBand="1" w:val="04A0"/>
      </w:tblPr>
      <w:tblGrid>
        <w:gridCol w:w="3249"/>
        <w:gridCol w:w="3249"/>
        <w:gridCol w:w="3249"/>
      </w:tblGrid>
      <w:tr>
        <w:tc>
          <w:tcPr>
            <w:tcW w:type="dxa" w:w="4535"/>
          </w:tcPr>
          <w:p>
            <w:r/>
            <w:r>
              <w:rPr>
                <w:b/>
                <w:sz w:val="18"/>
              </w:rPr>
              <w:t>Phase</w:t>
            </w:r>
          </w:p>
        </w:tc>
        <w:tc>
          <w:tcPr>
            <w:tcW w:type="dxa" w:w="1701"/>
          </w:tcPr>
          <w:p>
            <w:r/>
            <w:r>
              <w:rPr>
                <w:b/>
                <w:sz w:val="18"/>
              </w:rPr>
              <w:t>Duration</w:t>
            </w:r>
          </w:p>
        </w:tc>
        <w:tc>
          <w:tcPr>
            <w:tcW w:type="dxa" w:w="1701"/>
          </w:tcPr>
          <w:p>
            <w:r/>
            <w:r>
              <w:rPr>
                <w:b/>
                <w:sz w:val="18"/>
              </w:rPr>
              <w:t>Fee (USD)</w:t>
            </w:r>
          </w:p>
        </w:tc>
      </w:tr>
      <w:tr>
        <w:tc>
          <w:tcPr>
            <w:tcW w:type="dxa" w:w="4535"/>
          </w:tcPr>
          <w:p>
            <w:r/>
            <w:r>
              <w:rPr>
                <w:b w:val="0"/>
                <w:sz w:val="18"/>
              </w:rPr>
              <w:t>Phase 1: Spend baseline</w:t>
            </w:r>
          </w:p>
        </w:tc>
        <w:tc>
          <w:tcPr>
            <w:tcW w:type="dxa" w:w="1701"/>
          </w:tcPr>
          <w:p>
            <w:r/>
            <w:r>
              <w:rPr>
                <w:b w:val="0"/>
                <w:sz w:val="18"/>
              </w:rPr>
              <w:t>3 weeks</w:t>
            </w:r>
          </w:p>
        </w:tc>
        <w:tc>
          <w:tcPr>
            <w:tcW w:type="dxa" w:w="1701"/>
          </w:tcPr>
          <w:p>
            <w:r/>
            <w:r>
              <w:rPr>
                <w:b w:val="0"/>
                <w:sz w:val="18"/>
              </w:rPr>
              <w:t>70,000</w:t>
            </w:r>
          </w:p>
        </w:tc>
      </w:tr>
      <w:tr>
        <w:tc>
          <w:tcPr>
            <w:tcW w:type="dxa" w:w="4535"/>
          </w:tcPr>
          <w:p>
            <w:r/>
            <w:r>
              <w:rPr>
                <w:b w:val="0"/>
                <w:sz w:val="18"/>
              </w:rPr>
              <w:t>Phase 2: Category deep dives</w:t>
            </w:r>
          </w:p>
        </w:tc>
        <w:tc>
          <w:tcPr>
            <w:tcW w:type="dxa" w:w="1701"/>
          </w:tcPr>
          <w:p>
            <w:r/>
            <w:r>
              <w:rPr>
                <w:b w:val="0"/>
                <w:sz w:val="18"/>
              </w:rPr>
              <w:t>5 weeks</w:t>
            </w:r>
          </w:p>
        </w:tc>
        <w:tc>
          <w:tcPr>
            <w:tcW w:type="dxa" w:w="1701"/>
          </w:tcPr>
          <w:p>
            <w:r/>
            <w:r>
              <w:rPr>
                <w:b w:val="0"/>
                <w:sz w:val="18"/>
              </w:rPr>
              <w:t>120,000</w:t>
            </w:r>
          </w:p>
        </w:tc>
      </w:tr>
      <w:tr>
        <w:tc>
          <w:tcPr>
            <w:tcW w:type="dxa" w:w="4535"/>
          </w:tcPr>
          <w:p>
            <w:r/>
            <w:r>
              <w:rPr>
                <w:b w:val="0"/>
                <w:sz w:val="18"/>
              </w:rPr>
              <w:t>Phase 3: Negotiation support</w:t>
            </w:r>
          </w:p>
        </w:tc>
        <w:tc>
          <w:tcPr>
            <w:tcW w:type="dxa" w:w="1701"/>
          </w:tcPr>
          <w:p>
            <w:r/>
            <w:r>
              <w:rPr>
                <w:b w:val="0"/>
                <w:sz w:val="18"/>
              </w:rPr>
              <w:t>4 weeks</w:t>
            </w:r>
          </w:p>
        </w:tc>
        <w:tc>
          <w:tcPr>
            <w:tcW w:type="dxa" w:w="1701"/>
          </w:tcPr>
          <w:p>
            <w:r/>
            <w:r>
              <w:rPr>
                <w:b w:val="0"/>
                <w:sz w:val="18"/>
              </w:rPr>
              <w:t>70,000</w:t>
            </w:r>
          </w:p>
        </w:tc>
      </w:tr>
      <w:tr>
        <w:tc>
          <w:tcPr>
            <w:tcW w:type="dxa" w:w="4535"/>
          </w:tcPr>
          <w:p>
            <w:r/>
            <w:r>
              <w:rPr>
                <w:b w:val="0"/>
                <w:sz w:val="18"/>
              </w:rPr>
              <w:t>Total</w:t>
            </w:r>
          </w:p>
        </w:tc>
        <w:tc>
          <w:tcPr>
            <w:tcW w:type="dxa" w:w="1701"/>
          </w:tcPr>
          <w:p>
            <w:r/>
            <w:r>
              <w:rPr>
                <w:b w:val="0"/>
                <w:sz w:val="18"/>
              </w:rPr>
              <w:t>12 weeks</w:t>
            </w:r>
          </w:p>
        </w:tc>
        <w:tc>
          <w:tcPr>
            <w:tcW w:type="dxa" w:w="1701"/>
          </w:tcPr>
          <w:p>
            <w:r/>
            <w:r>
              <w:rPr>
                <w:b w:val="0"/>
                <w:sz w:val="18"/>
              </w:rPr>
              <w:t>260,000</w:t>
            </w:r>
          </w:p>
        </w:tc>
      </w:tr>
    </w:tbl>
    <w:p/>
    <w:p>
      <w:r>
        <w:t>Expenses will be charged at cost and are not expected to exceed 8% of professional fees. We would be happy to discuss any aspect of this approach with the Client at their convenience.</w:t>
      </w:r>
    </w:p>
    <w:sectPr w:rsidR="00FC693F" w:rsidRPr="0006063C" w:rsidSect="00034616">
      <w:pgSz w:w="12240" w:h="15840"/>
      <w:pgMar w:top="1020" w:right="1247" w:bottom="1020" w:left="1247" w:header="720" w:footer="720" w:gutter="0"/>
      <w:cols w:space="720"/>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Partner reviewer" w:initials="PR" w:date="2026-11-01T22:58:57Z">
    <w:p>
      <w:pPr>
        <w:pStyle w:val="CommentText"/>
      </w:pPr>
      <w:r>
        <w:rPr>
          <w:rStyle w:val="CommentReference"/>
        </w:rPr>
        <w:annotationRef/>
      </w:r>
      <w:r>
        <w:t>Far too long. Cut this whole section to under 300 words without losing the three phases or the fee table.</w:t>
      </w:r>
    </w:p>
  </w:comment>
  <w:comment w:id="1" w:author="Partner reviewer" w:initials="PR" w:date="2026-11-01T22:58:57Z">
    <w:p>
      <w:pPr>
        <w:pStyle w:val="CommentText"/>
      </w:pPr>
      <w:r>
        <w:rPr>
          <w:rStyle w:val="CommentReference"/>
        </w:rPr>
        <w:annotationRef/>
      </w:r>
      <w:r>
        <w:t>The fee in the text doesn't match the table. Fix it and tell me which one you changed.</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6251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26251E"/>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26251E"/>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26251E"/>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