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Travel and Expense Policy</w:t>
      </w:r>
    </w:p>
    <w:p>
      <w:r>
        <w:rPr>
          <w:color w:val="4B5563"/>
          <w:sz w:val="18"/>
        </w:rPr>
        <w:t>Harbor Lane Advisory · Policy HL-FIN-07 · Draft for approval · Effective 1 January 2027</w:t>
      </w:r>
    </w:p>
    <w:p>
      <w:pPr>
        <w:pStyle w:val="Heading1"/>
      </w:pPr>
      <w:r>
        <w:t>1. Scope and definitions</w:t>
      </w:r>
    </w:p>
    <w:p>
      <w:r>
        <w:t>1.1 This policy applies to all business travel and expenses incurred on behalf of Harbor Lane Advisory (the "Firm").</w:t>
      </w:r>
    </w:p>
    <w:p>
      <w:r>
        <w:t>1.2 "Employee" means any person employed by the Firm on a permanent or fixed-term contract. Contractors are covered by their engagement letters, not by this policy.</w:t>
      </w:r>
    </w:p>
    <w:p>
      <w:r>
        <w:t>1.3 "Client-billable" means an expense that the Firm recharges to a client under the terms of an engagement.</w:t>
      </w:r>
    </w:p>
    <w:p>
      <w:pPr>
        <w:pStyle w:val="Heading1"/>
      </w:pPr>
      <w:r>
        <w:t>2. Booking travel</w:t>
      </w:r>
    </w:p>
    <w:p>
      <w:r>
        <w:t>2.1 Any trip or expense expected to exceed USD 500 requires pre-approval from the Employee's line manager.</w:t>
      </w:r>
    </w:p>
    <w:p>
      <w:r>
        <w:t>2.2 All flights, rail and hotels must be booked through the Firm's travel portal unless the portal cannot offer the route.</w:t>
      </w:r>
    </w:p>
    <w:p>
      <w:r>
        <w:t>2.3 Flights must be booked in economy class where the scheduled flight time is under 6 hours.</w:t>
      </w:r>
    </w:p>
    <w:p>
      <w:pPr>
        <w:pStyle w:val="Heading1"/>
      </w:pPr>
      <w:r>
        <w:t>3. Claiming expenses</w:t>
      </w:r>
    </w:p>
    <w:p>
      <w:r>
        <w:t>3.1 Staff members must submit expense claims, with itemised receipts, within 30 days of the expense being incurred.</w:t>
      </w:r>
    </w:p>
    <w:p>
      <w:r>
        <w:t>3.2 Client-billable expenses must be coded to the engagement number so that they can be recharged; see section 4.3 for the client recharge process.</w:t>
      </w:r>
    </w:p>
    <w:p>
      <w:r>
        <w:t>3.3 Meals are reimbursed up to USD 75 per person per day when travelling overnight.</w:t>
      </w:r>
    </w:p>
    <w:p>
      <w:pPr>
        <w:pStyle w:val="Heading1"/>
      </w:pPr>
      <w:r>
        <w:t>4. Approvals and exceptions</w:t>
      </w:r>
    </w:p>
    <w:p>
      <w:r>
        <w:t>4.1 Business class is permitted on flights with a scheduled flight time of more than 5 hours.</w:t>
      </w:r>
    </w:p>
    <w:p>
      <w:r>
        <w:t>4.2 Expenses above USD 1,000 require approval from the Employee's line manager before they are incurred.</w:t>
      </w:r>
    </w:p>
    <w:p>
      <w:pPr>
        <w:pStyle w:val="Heading1"/>
      </w:pPr>
      <w:r>
        <w:t>6. Non-compliance</w:t>
      </w:r>
    </w:p>
    <w:p>
      <w:r>
        <w:t>6.1 Claims submitted more than 45 days after the expense was incurred will not be reimbursed.</w:t>
      </w:r>
    </w:p>
    <w:p>
      <w:r>
        <w:t>6.2 A Consultant who repeatedly breaches this policy may be subject to the disciplinary procedure.</w:t>
      </w:r>
    </w:p>
    <w:p>
      <w:r>
        <w:t>Approved by the Finance Committee. This policy is effective from 1 February 2027 and is reviewed annually.</w:t>
      </w:r>
    </w:p>
    <w:sectPr w:rsidR="00FC693F" w:rsidRPr="0006063C" w:rsidSect="00034616">
      <w:footerReference w:type="default" r:id="rId9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Illustrative example · Fictional companies and sample data · deckary.com/blog/claude-for-word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color w:val="0B2A4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B2A4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</w:pPr>
    <w:rPr>
      <w:rFonts w:ascii="Arial" w:hAnsi="Arial" w:cs="Arial" w:eastAsia="Arial"/>
      <w:b/>
      <w:color w:val="0B2A4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