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Procurement cost diagnostic: proposal to Northfield Components</w:t>
      </w:r>
    </w:p>
    <w:p>
      <w:r>
        <w:rPr>
          <w:color w:val="4B5563"/>
          <w:sz w:val="18"/>
        </w:rPr>
        <w:t>Prepared by Harbor Lane Advisory · Draft v0.3 · For discussion · 28 October 2026</w:t>
      </w:r>
    </w:p>
    <w:p>
      <w:pPr>
        <w:pStyle w:val="Heading1"/>
      </w:pPr>
      <w:commentRangeStart w:id="0"/>
      <w:r>
        <w:t>1. Background</w:t>
      </w:r>
      <w:commentRangeEnd w:id="0"/>
      <w:r>
        <w:rPr>
          <w:rStyle w:val="CommentReference"/>
        </w:rPr>
        <w:commentReference w:id="0"/>
      </w:r>
    </w:p>
    <w:p>
      <w:r>
        <w:t>Northfield Components is a mid-sized manufacturer of precision metal parts with annual revenue of USD 410 million and third-party spend of around USD 230 million across 1,900 suppliers. Following the margin decline reported to the board in Q2 (EBITDA margin down from 11.8% to 9.6%), the CFO has asked for an independent view of where procurement costs can be reduced and how quickly.</w:t>
      </w:r>
    </w:p>
    <w:p>
      <w:r>
        <w:t>It was noted in our initial conversations that a number of categories have not been retendered in several years and that consideration is being given by management to the consolidation of the supplier base, although no decision has been taken and it is understood that further analysis is required before any such decision could be made.</w:t>
      </w:r>
    </w:p>
    <w:p>
      <w:pPr>
        <w:pStyle w:val="Heading1"/>
      </w:pPr>
      <w:r>
        <w:t>2. Objectives</w:t>
      </w:r>
    </w:p>
    <w:p>
      <w:pPr>
        <w:pStyle w:val="ListBullet"/>
      </w:pPr>
      <w:r>
        <w:t>Build a single view of third-party spend by category, supplier and site.</w:t>
      </w:r>
    </w:p>
    <w:p>
      <w:pPr>
        <w:pStyle w:val="ListBullet"/>
      </w:pPr>
      <w:r>
        <w:t>Identify and size savings opportunities across direct and indirect categories.</w:t>
      </w:r>
    </w:p>
    <w:p>
      <w:pPr>
        <w:pStyle w:val="ListBullet"/>
      </w:pPr>
      <w:r>
        <w:t>Agree a prioritised plan with category owners that the CFO can take to the board.</w:t>
      </w:r>
    </w:p>
    <w:p>
      <w:pPr>
        <w:pStyle w:val="Heading1"/>
      </w:pPr>
      <w:r>
        <w:t>3. Approach</w:t>
      </w:r>
    </w:p>
    <w:p>
      <w:r>
        <w:t>We propose an 8-week diagnostic in three phases. Leveraging our proprietary methodology, a holistic spend cube will be developed and synergies across the value chain will be unlocked through a best-in-class category deep-dive process, with stakeholder alignment being ensured throughout.</w:t>
      </w:r>
    </w:p>
    <w:p>
      <w:r>
        <w:t>In our experience, savings of 15-20% of addressable spend are typical for diagnostics of this kind.</w:t>
      </w:r>
    </w:p>
    <w:tbl>
      <w:tblPr>
        <w:tblStyle w:val="TableGrid"/>
        <w:tblW w:type="auto" w:w="0"/>
        <w:tblLook w:firstColumn="1" w:firstRow="1" w:lastColumn="0" w:lastRow="0" w:noHBand="0" w:noVBand="1" w:val="04A0"/>
      </w:tblPr>
      <w:tblGrid>
        <w:gridCol w:w="3099"/>
        <w:gridCol w:w="3099"/>
        <w:gridCol w:w="3099"/>
      </w:tblGrid>
      <w:tr>
        <w:tc>
          <w:tcPr>
            <w:tcW w:type="dxa" w:w="1134"/>
            <w:shd w:val="clear" w:color="auto" w:fill="E8EEF5"/>
          </w:tcPr>
          <w:p>
            <w:pPr>
              <w:spacing w:after="40"/>
            </w:pPr>
            <w:r>
              <w:rPr>
                <w:b/>
                <w:sz w:val="19"/>
              </w:rPr>
              <w:t>Weeks</w:t>
            </w:r>
          </w:p>
        </w:tc>
        <w:tc>
          <w:tcPr>
            <w:tcW w:type="dxa" w:w="1474"/>
            <w:shd w:val="clear" w:color="auto" w:fill="E8EEF5"/>
          </w:tcPr>
          <w:p>
            <w:pPr>
              <w:spacing w:after="40"/>
            </w:pPr>
            <w:r>
              <w:rPr>
                <w:b/>
                <w:sz w:val="19"/>
              </w:rPr>
              <w:t>Phase</w:t>
            </w:r>
          </w:p>
        </w:tc>
        <w:tc>
          <w:tcPr>
            <w:tcW w:type="dxa" w:w="6690"/>
            <w:shd w:val="clear" w:color="auto" w:fill="E8EEF5"/>
          </w:tcPr>
          <w:p>
            <w:pPr>
              <w:spacing w:after="40"/>
            </w:pPr>
            <w:r>
              <w:rPr>
                <w:b/>
                <w:sz w:val="19"/>
              </w:rPr>
              <w:t>Main activities</w:t>
            </w:r>
          </w:p>
        </w:tc>
      </w:tr>
      <w:tr>
        <w:tc>
          <w:tcPr>
            <w:tcW w:type="dxa" w:w="1134"/>
          </w:tcPr>
          <w:p>
            <w:pPr>
              <w:spacing w:after="40"/>
            </w:pPr>
            <w:r>
              <w:rPr>
                <w:sz w:val="19"/>
              </w:rPr>
              <w:t>1-2</w:t>
            </w:r>
          </w:p>
        </w:tc>
        <w:tc>
          <w:tcPr>
            <w:tcW w:type="dxa" w:w="1474"/>
          </w:tcPr>
          <w:p>
            <w:pPr>
              <w:spacing w:after="40"/>
            </w:pPr>
            <w:r>
              <w:rPr>
                <w:sz w:val="19"/>
              </w:rPr>
              <w:t>Mobilise</w:t>
            </w:r>
          </w:p>
        </w:tc>
        <w:tc>
          <w:tcPr>
            <w:tcW w:type="dxa" w:w="6690"/>
          </w:tcPr>
          <w:p>
            <w:pPr>
              <w:spacing w:after="40"/>
            </w:pPr>
            <w:r>
              <w:rPr>
                <w:sz w:val="19"/>
              </w:rPr>
              <w:t>Data request, kick-off with category owners, spend extraction from ERP</w:t>
            </w:r>
          </w:p>
        </w:tc>
      </w:tr>
      <w:tr>
        <w:tc>
          <w:tcPr>
            <w:tcW w:type="dxa" w:w="1134"/>
          </w:tcPr>
          <w:p>
            <w:pPr>
              <w:spacing w:after="40"/>
            </w:pPr>
            <w:r>
              <w:rPr>
                <w:sz w:val="19"/>
              </w:rPr>
              <w:t>3-6</w:t>
            </w:r>
          </w:p>
        </w:tc>
        <w:tc>
          <w:tcPr>
            <w:tcW w:type="dxa" w:w="1474"/>
          </w:tcPr>
          <w:p>
            <w:pPr>
              <w:spacing w:after="40"/>
            </w:pPr>
            <w:r>
              <w:rPr>
                <w:sz w:val="19"/>
              </w:rPr>
              <w:t>Diagnose</w:t>
            </w:r>
          </w:p>
        </w:tc>
        <w:tc>
          <w:tcPr>
            <w:tcW w:type="dxa" w:w="6690"/>
          </w:tcPr>
          <w:p>
            <w:pPr>
              <w:spacing w:after="40"/>
            </w:pPr>
            <w:r>
              <w:rPr>
                <w:sz w:val="19"/>
              </w:rPr>
              <w:t>Spend cube, category deep dives, supplier and contract review</w:t>
            </w:r>
          </w:p>
        </w:tc>
      </w:tr>
      <w:tr>
        <w:tc>
          <w:tcPr>
            <w:tcW w:type="dxa" w:w="1134"/>
          </w:tcPr>
          <w:p>
            <w:pPr>
              <w:spacing w:after="40"/>
            </w:pPr>
            <w:r>
              <w:rPr>
                <w:sz w:val="19"/>
              </w:rPr>
              <w:t>7-8</w:t>
            </w:r>
          </w:p>
        </w:tc>
        <w:tc>
          <w:tcPr>
            <w:tcW w:type="dxa" w:w="1474"/>
          </w:tcPr>
          <w:p>
            <w:pPr>
              <w:spacing w:after="40"/>
            </w:pPr>
            <w:r>
              <w:rPr>
                <w:sz w:val="19"/>
              </w:rPr>
              <w:t>Plan</w:t>
            </w:r>
          </w:p>
        </w:tc>
        <w:tc>
          <w:tcPr>
            <w:tcW w:type="dxa" w:w="6690"/>
          </w:tcPr>
          <w:p>
            <w:pPr>
              <w:spacing w:after="40"/>
            </w:pPr>
            <w:r>
              <w:rPr>
                <w:sz w:val="19"/>
              </w:rPr>
              <w:t>Savings sizing, negotiation strategies, quick-win list</w:t>
            </w:r>
          </w:p>
        </w:tc>
      </w:tr>
      <w:tr>
        <w:tc>
          <w:tcPr>
            <w:tcW w:type="dxa" w:w="1134"/>
          </w:tcPr>
          <w:p>
            <w:pPr>
              <w:spacing w:after="40"/>
            </w:pPr>
            <w:r>
              <w:rPr>
                <w:sz w:val="19"/>
              </w:rPr>
              <w:t>9-10</w:t>
            </w:r>
          </w:p>
        </w:tc>
        <w:tc>
          <w:tcPr>
            <w:tcW w:type="dxa" w:w="1474"/>
          </w:tcPr>
          <w:p>
            <w:pPr>
              <w:spacing w:after="40"/>
            </w:pPr>
            <w:r>
              <w:rPr>
                <w:sz w:val="19"/>
              </w:rPr>
              <w:t>Report</w:t>
            </w:r>
          </w:p>
        </w:tc>
        <w:tc>
          <w:tcPr>
            <w:tcW w:type="dxa" w:w="6690"/>
          </w:tcPr>
          <w:p>
            <w:pPr>
              <w:spacing w:after="40"/>
            </w:pPr>
            <w:r>
              <w:rPr>
                <w:sz w:val="19"/>
              </w:rPr>
              <w:t>Final report, board paper and handover</w:t>
            </w:r>
          </w:p>
        </w:tc>
      </w:tr>
    </w:tbl>
    <w:p>
      <w:pPr>
        <w:pStyle w:val="Heading1"/>
      </w:pPr>
      <w:r>
        <w:t>4. Deliverables</w:t>
      </w:r>
    </w:p>
    <w:p>
      <w:pPr>
        <w:pStyle w:val="ListBullet"/>
      </w:pPr>
      <w:r>
        <w:t>Spend cube covering 24 months of accounts-payable data.</w:t>
      </w:r>
    </w:p>
    <w:p>
      <w:pPr>
        <w:pStyle w:val="ListBullet"/>
      </w:pPr>
      <w:r>
        <w:t>Category fact packs for the top 12 categories.</w:t>
      </w:r>
    </w:p>
    <w:p>
      <w:pPr>
        <w:pStyle w:val="ListBullet"/>
      </w:pPr>
      <w:r>
        <w:t>Insights and recommendations as appropriate.</w:t>
      </w:r>
    </w:p>
    <w:p>
      <w:pPr>
        <w:pStyle w:val="Heading1"/>
      </w:pPr>
      <w:r>
        <w:t>5. Team</w:t>
      </w:r>
    </w:p>
    <w:p>
      <w:r>
        <w:t>The work will be led by a partner with 15 years of procurement experience, supported by one engagement manager and two consultants on site at the Northfield Industries headquarters three days a week.</w:t>
      </w:r>
    </w:p>
    <w:p>
      <w:pPr>
        <w:pStyle w:val="Heading2"/>
      </w:pPr>
      <w:r>
        <w:t>Governance</w:t>
      </w:r>
    </w:p>
    <w:p>
      <w:r>
        <w:t>A steering committee chaired by the CFO will meet in weeks 2, 6 and 10 to review findings and agree priorities. Category owners for packaging, castings, logistics, IT and facilities will join a weekly working session. We will share a one-page progress note every Friday.</w:t>
      </w:r>
    </w:p>
    <w:p>
      <w:pPr>
        <w:pStyle w:val="Heading2"/>
      </w:pPr>
      <w:r>
        <w:t>Assumptions and dependencies</w:t>
      </w:r>
    </w:p>
    <w:p>
      <w:pPr>
        <w:pStyle w:val="ListBullet"/>
      </w:pPr>
      <w:r>
        <w:t>Northfield provides 24 months of accounts-payable and purchase-order data from its ERP by the end of week 1.</w:t>
      </w:r>
    </w:p>
    <w:p>
      <w:pPr>
        <w:pStyle w:val="ListBullet"/>
      </w:pPr>
      <w:r>
        <w:t>Each category owner is available for two hours a week during the diagnose phase.</w:t>
      </w:r>
    </w:p>
    <w:p>
      <w:pPr>
        <w:pStyle w:val="ListBullet"/>
      </w:pPr>
      <w:r>
        <w:t>Contracts for the top 50 suppliers are shared in electronic form.</w:t>
      </w:r>
    </w:p>
    <w:p>
      <w:pPr>
        <w:pStyle w:val="ListBullet"/>
      </w:pPr>
      <w:r>
        <w:t>Supplier contact during the diagnostic is limited to fact-finding; no negotiations start before the board decision.</w:t>
      </w:r>
    </w:p>
    <w:p>
      <w:pPr>
        <w:pStyle w:val="Heading1"/>
      </w:pPr>
      <w:commentRangeStart w:id="1"/>
      <w:r>
        <w:t>6. Fees</w:t>
      </w:r>
      <w:commentRangeEnd w:id="1"/>
      <w:r>
        <w:rPr>
          <w:rStyle w:val="CommentReference"/>
        </w:rPr>
        <w:commentReference w:id="1"/>
      </w:r>
    </w:p>
    <w:p>
      <w:r>
        <w:t>Our professional fees for the diagnostic are USD 185,000, excluding expenses, which we estimate at 8% of fees and will bill at cost. Fees are invoiced in two equal instalments, at mobilisation and at delivery of the final report.</w:t>
      </w:r>
    </w:p>
    <w:p>
      <w:pPr>
        <w:pStyle w:val="Heading1"/>
      </w:pPr>
      <w:r>
        <w:t>7. Next steps</w:t>
      </w:r>
    </w:p>
    <w:p>
      <w:r>
        <w:t>We recommend that Northfield approves the diagnostic at the 12 November steering committee so that work can start on 17 November. On approval of the USD 195,000 budget we will issue the data request within two working days.</w:t>
      </w:r>
    </w:p>
    <w:sectPr w:rsidR="00FC693F" w:rsidRPr="0006063C" w:rsidSect="00034616">
      <w:footerReference w:type="default" r:id="rId9"/>
      <w:pgSz w:w="11906" w:h="16838"/>
      <w:pgMar w:top="1134" w:right="1304" w:bottom="1134" w:left="1304"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 Reyes (Partner)" w:initials="AR" w:date="2026-11-01T22:53:56Z">
    <w:p>
      <w:pPr>
        <w:pStyle w:val="CommentText"/>
      </w:pPr>
      <w:r>
        <w:rPr>
          <w:rStyle w:val="CommentReference"/>
        </w:rPr>
        <w:annotationRef/>
      </w:r>
      <w:r>
        <w:t>Lead with the answer: what will they save, by when, and what do we need them to approve? This is buried in section 7.</w:t>
      </w:r>
    </w:p>
  </w:comment>
  <w:comment w:id="1" w:author="A. Reyes (Partner)" w:initials="AR" w:date="2026-11-01T22:53:56Z">
    <w:p>
      <w:pPr>
        <w:pStyle w:val="CommentText"/>
      </w:pPr>
      <w:r>
        <w:rPr>
          <w:rStyle w:val="CommentReference"/>
        </w:rPr>
        <w:annotationRef/>
      </w:r>
      <w:r>
        <w:t>Fee must match the steerco paper. Check sections 6 and 7 agree, and say what is fixed and what is variable.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5"/>
      </w:rPr>
      <w:t>Illustrative example · Fictional companies and sample data · deckary.com/blog/claude-for-word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color w:val="0B2A4A"/>
      <w:sz w:val="2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color w:val="0B2A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pPr>
    <w:rPr>
      <w:rFonts w:ascii="Arial" w:hAnsi="Arial" w:cs="Arial" w:eastAsia="Arial"/>
      <w:b/>
      <w:color w:val="0B2A4A"/>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