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Project Keystone: weekly PMO meeting notes</w:t>
      </w:r>
    </w:p>
    <w:p>
      <w:r>
        <w:t>Date: 27 October 2026 · Chair: Priya Nair (PMO lead) · Next steering committee: 5 November 2026</w:t>
      </w:r>
    </w:p>
    <w:p>
      <w:r>
        <w:t>Attendees: Priya Nair, Daniel Ortiz, Tom Brooks, Maria Chen, Grace Liu, Sam Patel, Elena Ruiz (Finance)</w:t>
      </w:r>
    </w:p>
    <w:p>
      <w:r>
        <w:rPr>
          <w:i/>
          <w:color w:val="6B7280"/>
          <w:sz w:val="17"/>
        </w:rPr>
        <w:t>Illustrative example · Fictional company and sample data</w:t>
      </w:r>
    </w:p>
    <w:p>
      <w:pPr>
        <w:pStyle w:val="Heading1"/>
      </w:pPr>
      <w:r>
        <w:t>1. Workstream updates</w:t>
      </w:r>
    </w:p>
    <w:p>
      <w:pPr>
        <w:pStyle w:val="ListBullet"/>
      </w:pPr>
      <w:r>
        <w:t>Logistics (wave 2): Elena confirmed finance validated the carrier savings on 24 Oct. Confirmed run-rate savings are now $1,850k, up from $1,250k. Remaining 15% is contract signature, expected by 7 Nov.</w:t>
      </w:r>
    </w:p>
    <w:p>
      <w:pPr>
        <w:pStyle w:val="ListBullet"/>
      </w:pPr>
      <w:r>
        <w:t>Indirect spend (wave 3): now 70% complete. Maria Chen takes over as workstream owner from 1 Nov; Tom moves to the P2P rollout to support Sam. Tom said wave 3 "could reach $1.3M" once IT renewals land. Elena: not validated, do not report until finance signs off.</w:t>
      </w:r>
    </w:p>
    <w:p>
      <w:pPr>
        <w:pStyle w:val="ListBullet"/>
      </w:pPr>
      <w:r>
        <w:t>Supplier consolidation: legal review of the 14 exit contracts is taking longer than planned. Grace expects completion on 27 Nov instead of 13 Nov. The team agreed to show the workstream as Amber.</w:t>
      </w:r>
    </w:p>
    <w:p>
      <w:pPr>
        <w:pStyle w:val="ListBullet"/>
      </w:pPr>
      <w:r>
        <w:t>P2P rollout: integration testing on track. Sam confirmed go-live stays 15 Jan 2027. See new risk below.</w:t>
      </w:r>
    </w:p>
    <w:p>
      <w:pPr>
        <w:pStyle w:val="ListBullet"/>
      </w:pPr>
      <w:r>
        <w:t>Tail-spend pilot: following the steerco approval on 1 Oct, the pilot launched in the Midlands and North regions on 20 Oct. Now 30% complete.</w:t>
      </w:r>
    </w:p>
    <w:p>
      <w:pPr>
        <w:pStyle w:val="ListBullet"/>
      </w:pPr>
      <w:r>
        <w:t>Change management: no change since the last update.</w:t>
      </w:r>
    </w:p>
    <w:p>
      <w:pPr>
        <w:pStyle w:val="Heading1"/>
      </w:pPr>
      <w:r>
        <w:t>2. Risks</w:t>
      </w:r>
    </w:p>
    <w:p>
      <w:pPr>
        <w:pStyle w:val="ListBullet"/>
      </w:pPr>
      <w:r>
        <w:t>New: the P2P integration partner has lost 2 of its 5 consultants on the project. Impact High, likelihood Medium. Owner Sam Patel. Mitigation: partner to name replacements by 6 Nov; PMO to escalate to the partner's account lead if not.</w:t>
      </w:r>
    </w:p>
    <w:p>
      <w:pPr>
        <w:pStyle w:val="ListBullet"/>
      </w:pPr>
      <w:r>
        <w:t>Resin price risk (packaging) can be closed: the index clause is signed and caps any increase at 2%.</w:t>
      </w:r>
    </w:p>
    <w:p>
      <w:pPr>
        <w:pStyle w:val="Heading1"/>
      </w:pPr>
      <w:r>
        <w:t>3. Decisions and asks for the 5 November steerco</w:t>
      </w:r>
    </w:p>
    <w:p>
      <w:pPr>
        <w:pStyle w:val="ListBullet"/>
      </w:pPr>
      <w:r>
        <w:t>PMO proposes overall programme status Amber (was Green) because of the supplier consolidation slip and the P2P partner risk.</w:t>
      </w:r>
    </w:p>
    <w:p>
      <w:pPr>
        <w:pStyle w:val="ListBullet"/>
      </w:pPr>
      <w:r>
        <w:t>Ask: approve $180k for external legal support so the remaining exit contracts are reviewed by 27 Nov. Without it, Grace expects a further three-week slip.</w:t>
      </w:r>
    </w:p>
    <w:p>
      <w:pPr>
        <w:pStyle w:val="ListBullet"/>
      </w:pPr>
      <w:r>
        <w:t>For information: confirmed savings total to be taken from the tracker after this week's updates.</w:t>
      </w:r>
    </w:p>
    <w:p>
      <w:pPr>
        <w:pStyle w:val="Heading1"/>
      </w:pPr>
      <w:r>
        <w:t>4. Actions</w:t>
      </w:r>
    </w:p>
    <w:tbl>
      <w:tblPr>
        <w:tblStyle w:val="TableGrid"/>
        <w:tblW w:type="auto" w:w="0"/>
        <w:tblLook w:firstColumn="1" w:firstRow="1" w:lastColumn="0" w:lastRow="0" w:noHBand="0" w:noVBand="1" w:val="04A0"/>
      </w:tblPr>
      <w:tblGrid>
        <w:gridCol w:w="3324"/>
        <w:gridCol w:w="3324"/>
        <w:gridCol w:w="3324"/>
      </w:tblGrid>
      <w:tr>
        <w:tc>
          <w:tcPr>
            <w:tcW w:type="dxa" w:w="5386"/>
          </w:tcPr>
          <w:p>
            <w:r/>
            <w:r>
              <w:rPr>
                <w:b/>
                <w:sz w:val="17"/>
              </w:rPr>
              <w:t>Action</w:t>
            </w:r>
          </w:p>
        </w:tc>
        <w:tc>
          <w:tcPr>
            <w:tcW w:type="dxa" w:w="2268"/>
          </w:tcPr>
          <w:p>
            <w:r/>
            <w:r>
              <w:rPr>
                <w:b/>
                <w:sz w:val="17"/>
              </w:rPr>
              <w:t>Owner</w:t>
            </w:r>
          </w:p>
        </w:tc>
        <w:tc>
          <w:tcPr>
            <w:tcW w:type="dxa" w:w="1701"/>
          </w:tcPr>
          <w:p>
            <w:r/>
            <w:r>
              <w:rPr>
                <w:b/>
                <w:sz w:val="17"/>
              </w:rPr>
              <w:t>Due</w:t>
            </w:r>
          </w:p>
        </w:tc>
      </w:tr>
      <w:tr>
        <w:tc>
          <w:tcPr>
            <w:tcW w:type="dxa" w:w="5386"/>
          </w:tcPr>
          <w:p>
            <w:r/>
            <w:r>
              <w:rPr>
                <w:b w:val="0"/>
                <w:sz w:val="17"/>
              </w:rPr>
              <w:t>Update the tracker with this week's changes</w:t>
            </w:r>
          </w:p>
        </w:tc>
        <w:tc>
          <w:tcPr>
            <w:tcW w:type="dxa" w:w="2268"/>
          </w:tcPr>
          <w:p>
            <w:r/>
            <w:r>
              <w:rPr>
                <w:b w:val="0"/>
                <w:sz w:val="17"/>
              </w:rPr>
              <w:t>Priya Nair</w:t>
            </w:r>
          </w:p>
        </w:tc>
        <w:tc>
          <w:tcPr>
            <w:tcW w:type="dxa" w:w="1701"/>
          </w:tcPr>
          <w:p>
            <w:r/>
            <w:r>
              <w:rPr>
                <w:b w:val="0"/>
                <w:sz w:val="17"/>
              </w:rPr>
              <w:t>30 Oct</w:t>
            </w:r>
          </w:p>
        </w:tc>
      </w:tr>
      <w:tr>
        <w:tc>
          <w:tcPr>
            <w:tcW w:type="dxa" w:w="5386"/>
          </w:tcPr>
          <w:p>
            <w:r/>
            <w:r>
              <w:rPr>
                <w:b w:val="0"/>
                <w:sz w:val="17"/>
              </w:rPr>
              <w:t>Prepare the 5 Nov steerco deck in the usual format</w:t>
            </w:r>
          </w:p>
        </w:tc>
        <w:tc>
          <w:tcPr>
            <w:tcW w:type="dxa" w:w="2268"/>
          </w:tcPr>
          <w:p>
            <w:r/>
            <w:r>
              <w:rPr>
                <w:b w:val="0"/>
                <w:sz w:val="17"/>
              </w:rPr>
              <w:t>Priya Nair</w:t>
            </w:r>
          </w:p>
        </w:tc>
        <w:tc>
          <w:tcPr>
            <w:tcW w:type="dxa" w:w="1701"/>
          </w:tcPr>
          <w:p>
            <w:r/>
            <w:r>
              <w:rPr>
                <w:b w:val="0"/>
                <w:sz w:val="17"/>
              </w:rPr>
              <w:t>3 Nov</w:t>
            </w:r>
          </w:p>
        </w:tc>
      </w:tr>
      <w:tr>
        <w:tc>
          <w:tcPr>
            <w:tcW w:type="dxa" w:w="5386"/>
          </w:tcPr>
          <w:p>
            <w:r/>
            <w:r>
              <w:rPr>
                <w:b w:val="0"/>
                <w:sz w:val="17"/>
              </w:rPr>
              <w:t>Confirm replacement consultants with the P2P partner</w:t>
            </w:r>
          </w:p>
        </w:tc>
        <w:tc>
          <w:tcPr>
            <w:tcW w:type="dxa" w:w="2268"/>
          </w:tcPr>
          <w:p>
            <w:r/>
            <w:r>
              <w:rPr>
                <w:b w:val="0"/>
                <w:sz w:val="17"/>
              </w:rPr>
              <w:t>Sam Patel</w:t>
            </w:r>
          </w:p>
        </w:tc>
        <w:tc>
          <w:tcPr>
            <w:tcW w:type="dxa" w:w="1701"/>
          </w:tcPr>
          <w:p>
            <w:r/>
            <w:r>
              <w:rPr>
                <w:b w:val="0"/>
                <w:sz w:val="17"/>
              </w:rPr>
              <w:t>6 Nov</w:t>
            </w:r>
          </w:p>
        </w:tc>
      </w:tr>
      <w:tr>
        <w:tc>
          <w:tcPr>
            <w:tcW w:type="dxa" w:w="5386"/>
          </w:tcPr>
          <w:p>
            <w:r/>
            <w:r>
              <w:rPr>
                <w:b w:val="0"/>
                <w:sz w:val="17"/>
              </w:rPr>
              <w:t>Handover of wave 3 from Tom to Maria</w:t>
            </w:r>
          </w:p>
        </w:tc>
        <w:tc>
          <w:tcPr>
            <w:tcW w:type="dxa" w:w="2268"/>
          </w:tcPr>
          <w:p>
            <w:r/>
            <w:r>
              <w:rPr>
                <w:b w:val="0"/>
                <w:sz w:val="17"/>
              </w:rPr>
              <w:t>Tom Brooks</w:t>
            </w:r>
          </w:p>
        </w:tc>
        <w:tc>
          <w:tcPr>
            <w:tcW w:type="dxa" w:w="1701"/>
          </w:tcPr>
          <w:p>
            <w:r/>
            <w:r>
              <w:rPr>
                <w:b w:val="0"/>
                <w:sz w:val="17"/>
              </w:rPr>
              <w:t>31 Oct</w:t>
            </w:r>
          </w:p>
        </w:tc>
      </w:tr>
    </w:tbl>
    <w:sectPr w:rsidR="00FC693F" w:rsidRPr="0006063C" w:rsidSect="00034616">
      <w:pgSz w:w="12240" w:h="15840"/>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rial" w:hAnsi="Arial"/>
      <w:color w:val="1F2A3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Arial" w:hAnsi="Arial"/>
      <w:b/>
      <w:bCs/>
      <w:color w:val="1F2A37"/>
      <w:sz w:val="26"/>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rial" w:hAnsi="Arial"/>
      <w:b/>
      <w:bCs/>
      <w:color w:val="1F2A37"/>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before="160"/>
      <w:contextualSpacing/>
    </w:pPr>
    <w:rPr>
      <w:rFonts w:asciiTheme="majorHAnsi" w:eastAsiaTheme="majorEastAsia" w:hAnsiTheme="majorHAnsi" w:cstheme="majorBidi" w:ascii="Arial" w:hAnsi="Arial"/>
      <w:color w:val="1F2A37"/>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