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6251E"/>
          <w:sz w:val="32"/>
        </w:rPr>
        <w:t>AI rollout checklist for a consulting team</w:t>
      </w:r>
    </w:p>
    <w:p>
      <w:r>
        <w:rPr>
          <w:color w:val="787771"/>
          <w:sz w:val="17"/>
        </w:rPr>
        <w:t>One page. Tick each line before client data goes into an AI tool. Vendor facts checked 1 Nov 2026. Source: deckary.com/blog/ai-tools-for-consultants</w:t>
      </w:r>
    </w:p>
    <w:p>
      <w:pPr>
        <w:spacing w:before="120" w:after="40"/>
      </w:pPr>
      <w:r>
        <w:rPr>
          <w:b/>
          <w:color w:val="D65835"/>
          <w:sz w:val="22"/>
        </w:rPr>
        <w:t>1. Client contracts and confidentiality</w:t>
      </w:r>
    </w:p>
    <w:p>
      <w:pPr>
        <w:spacing w:after="20"/>
        <w:ind w:left="340" w:hanging="340"/>
      </w:pPr>
      <w:r>
        <w:t>☐  List the clauses in your standard engagement letter and current client contracts that restrict where client data may be processed or who may see it.</w:t>
      </w:r>
    </w:p>
    <w:p>
      <w:pPr>
        <w:spacing w:after="20"/>
        <w:ind w:left="340" w:hanging="340"/>
      </w:pPr>
      <w:r>
        <w:t>☐  Decide which data classes may go into an AI tool at all: public research, anonymised interview notes, client financials, personal data, deal-sensitive material.</w:t>
      </w:r>
    </w:p>
    <w:p>
      <w:pPr>
        <w:spacing w:after="20"/>
        <w:ind w:left="340" w:hanging="340"/>
      </w:pPr>
      <w:r>
        <w:t>☐  Check whether any client has banned or restricted AI use on its work, and record it on the engagement setup form.</w:t>
      </w:r>
    </w:p>
    <w:p>
      <w:pPr>
        <w:spacing w:after="20"/>
        <w:ind w:left="340" w:hanging="340"/>
      </w:pPr>
      <w:r>
        <w:t>☐  Tell participants and get their consent before recording or transcribing any call, and follow expert-network terms.</w:t>
      </w:r>
    </w:p>
    <w:p>
      <w:pPr>
        <w:spacing w:before="120" w:after="40"/>
      </w:pPr>
      <w:r>
        <w:rPr>
          <w:b/>
          <w:color w:val="D65835"/>
          <w:sz w:val="22"/>
        </w:rPr>
        <w:t>2. Plan and contract terms per tool</w:t>
      </w:r>
    </w:p>
    <w:p>
      <w:pPr>
        <w:spacing w:after="20"/>
        <w:ind w:left="340" w:hanging="340"/>
      </w:pPr>
      <w:r>
        <w:t>☐  Use business plans for client work (Claude Team or Enterprise, ChatGPT Business or Enterprise, Microsoft 365 Copilot, Google Workspace), not personal accounts.</w:t>
      </w:r>
    </w:p>
    <w:p>
      <w:pPr>
        <w:spacing w:after="20"/>
        <w:ind w:left="340" w:hanging="340"/>
      </w:pPr>
      <w:r>
        <w:t>☐  Confirm in the vendor's own terms that customer content is not used for model training on the plan you buy, and save the page with the date.</w:t>
      </w:r>
    </w:p>
    <w:p>
      <w:pPr>
        <w:spacing w:after="20"/>
        <w:ind w:left="340" w:hanging="340"/>
      </w:pPr>
      <w:r>
        <w:t>☐  Check data retention: how long prompts and files are kept, and whether Office add-ins inherit your retention settings (Claude's Office add-ins do not, per Anthropic's docs).</w:t>
      </w:r>
    </w:p>
    <w:p>
      <w:pPr>
        <w:spacing w:after="20"/>
        <w:ind w:left="340" w:hanging="340"/>
      </w:pPr>
      <w:r>
        <w:t>☐  Check data residency if clients require it (for example, Microsoft notes Anthropic models are excluded from the EU Data Boundary inside Copilot).</w:t>
      </w:r>
    </w:p>
    <w:p>
      <w:pPr>
        <w:spacing w:before="120" w:after="40"/>
      </w:pPr>
      <w:r>
        <w:rPr>
          <w:b/>
          <w:color w:val="D65835"/>
          <w:sz w:val="22"/>
        </w:rPr>
        <w:t>3. Identity, admin and audit</w:t>
      </w:r>
    </w:p>
    <w:p>
      <w:pPr>
        <w:spacing w:after="20"/>
        <w:ind w:left="340" w:hanging="340"/>
      </w:pPr>
      <w:r>
        <w:t>☐  Require single sign-on and turn off personal-account sign-in to the same tools on firm devices where possible.</w:t>
      </w:r>
    </w:p>
    <w:p>
      <w:pPr>
        <w:spacing w:after="20"/>
        <w:ind w:left="340" w:hanging="340"/>
      </w:pPr>
      <w:r>
        <w:t>☐  Deploy Office add-ins centrally through the Microsoft 365 admin centre instead of letting each consultant install them.</w:t>
      </w:r>
    </w:p>
    <w:p>
      <w:pPr>
        <w:spacing w:after="20"/>
        <w:ind w:left="340" w:hanging="340"/>
      </w:pPr>
      <w:r>
        <w:t>☐  Confirm what lands in audit logs or a compliance API, and who can export it.</w:t>
      </w:r>
    </w:p>
    <w:p>
      <w:pPr>
        <w:spacing w:after="20"/>
        <w:ind w:left="340" w:hanging="340"/>
      </w:pPr>
      <w:r>
        <w:t>☐  Set who can enable connectors (SharePoint, Google Drive, email) and which ones are allowed.</w:t>
      </w:r>
    </w:p>
    <w:p>
      <w:pPr>
        <w:spacing w:before="120" w:after="40"/>
      </w:pPr>
      <w:r>
        <w:rPr>
          <w:b/>
          <w:color w:val="D65835"/>
          <w:sz w:val="22"/>
        </w:rPr>
        <w:t>4. Prompt injection and external files</w:t>
      </w:r>
    </w:p>
    <w:p>
      <w:pPr>
        <w:spacing w:after="20"/>
        <w:ind w:left="340" w:hanging="340"/>
      </w:pPr>
      <w:r>
        <w:t>☐  Tell staff that files from outside the firm (data-room documents, vendor templates, counterparty drafts) can carry hidden instructions; agents should run on trusted copies.</w:t>
      </w:r>
    </w:p>
    <w:p>
      <w:pPr>
        <w:spacing w:after="20"/>
        <w:ind w:left="340" w:hanging="340"/>
      </w:pPr>
      <w:r>
        <w:t>☐  Keep confirmation prompts on for destructive or bulk edits in Excel, Word and PowerPoint add-ins.</w:t>
      </w:r>
    </w:p>
    <w:p>
      <w:pPr>
        <w:spacing w:before="120" w:after="40"/>
      </w:pPr>
      <w:r>
        <w:rPr>
          <w:b/>
          <w:color w:val="D65835"/>
          <w:sz w:val="22"/>
        </w:rPr>
        <w:t>5. Quality and review rules</w:t>
      </w:r>
    </w:p>
    <w:p>
      <w:pPr>
        <w:spacing w:after="20"/>
        <w:ind w:left="340" w:hanging="340"/>
      </w:pPr>
      <w:r>
        <w:t>☐  No AI output goes to a client without a named consultant reviewing it; the reviewer owns every number and claim.</w:t>
      </w:r>
    </w:p>
    <w:p>
      <w:pPr>
        <w:spacing w:after="20"/>
        <w:ind w:left="340" w:hanging="340"/>
      </w:pPr>
      <w:r>
        <w:t>☐  Every figure in a deck or memo traces to a source the team can show (file, page, cell).</w:t>
      </w:r>
    </w:p>
    <w:p>
      <w:pPr>
        <w:spacing w:after="20"/>
        <w:ind w:left="340" w:hanging="340"/>
      </w:pPr>
      <w:r>
        <w:t>☐  Keep the firm template and slide standards as the reference the AI must follow; reject output that breaks them.</w:t>
      </w:r>
    </w:p>
    <w:p>
      <w:pPr>
        <w:spacing w:after="20"/>
        <w:ind w:left="340" w:hanging="340"/>
      </w:pPr>
      <w:r>
        <w:t>☐  Disclose AI use to clients where the contract or the client's policy asks for it.</w:t>
      </w:r>
    </w:p>
    <w:p>
      <w:pPr>
        <w:spacing w:before="120" w:after="40"/>
      </w:pPr>
      <w:r>
        <w:rPr>
          <w:b/>
          <w:color w:val="D65835"/>
          <w:sz w:val="22"/>
        </w:rPr>
        <w:t>6. Pilot before rollout</w:t>
      </w:r>
    </w:p>
    <w:p>
      <w:pPr>
        <w:spacing w:after="20"/>
        <w:ind w:left="340" w:hanging="340"/>
      </w:pPr>
      <w:r>
        <w:t>☐  Pick three recurring jobs (for example, desk research summary, interview synthesis, a 10-slide update deck) and run them with and without the tool on one live engagement.</w:t>
      </w:r>
    </w:p>
    <w:p>
      <w:pPr>
        <w:spacing w:after="20"/>
        <w:ind w:left="340" w:hanging="340"/>
      </w:pPr>
      <w:r>
        <w:t>☐  Measure hours saved and review effort, not just first-draft speed.</w:t>
      </w:r>
    </w:p>
    <w:p>
      <w:pPr>
        <w:spacing w:after="20"/>
        <w:ind w:left="340" w:hanging="340"/>
      </w:pPr>
      <w:r>
        <w:t>☐  Write down the prompts, skills or instructions that worked and share them as firm assets.</w:t>
      </w:r>
    </w:p>
    <w:p>
      <w:pPr>
        <w:spacing w:after="20"/>
        <w:ind w:left="340" w:hanging="340"/>
      </w:pPr>
      <w:r>
        <w:t>☐  Re-check vendor prices and terms every quarter; plans and data terms change often.</w:t>
      </w:r>
    </w:p>
    <w:p>
      <w:pPr>
        <w:jc w:val="left"/>
      </w:pPr>
      <w:r>
        <w:rPr>
          <w:i/>
          <w:color w:val="787771"/>
          <w:sz w:val="16"/>
        </w:rPr>
        <w:t>Compiled from vendor documentation; not legal advice. Check your own client contracts with counsel.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